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
          <w:iCs/>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[36]</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ayout w:type="fixed"/>
              <w:tblLook w:firstRow="1" w:lastRow="0" w:firstColumn="0" w:lastColumn="0" w:noHBand="0" w:noVBand="0" w:val="0020"/>
            </w:tblPr>
            <w:tblGrid>
              <w:gridCol w:w="1284"/>
              <w:gridCol w:w="1498"/>
              <w:gridCol w:w="1284"/>
              <w:gridCol w:w="1284"/>
              <w:gridCol w:w="1284"/>
              <w:gridCol w:w="1284"/>
            </w:tblGrid>
            <w:tr>
              <w:trPr>
                <w:tblHeader w:val="on"/>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End w:id="38"/>
    <w:bookmarkEnd w:id="39"/>
    <w:bookmarkStart w:id="44" w:name="making-progress-with-networks"/>
    <w:p>
      <w:pPr>
        <w:pStyle w:val="Heading1"/>
      </w:pPr>
      <w:r>
        <w:t xml:space="preserve">4. Making Progress with Networks</w:t>
      </w:r>
    </w:p>
    <w:bookmarkStart w:id="40"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40"/>
    <w:bookmarkStart w:id="41"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[59]</w:t>
      </w:r>
    </w:p>
    <w:bookmarkEnd w:id="41"/>
    <w:bookmarkStart w:id="42"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60]</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[61]</w:t>
      </w:r>
      <w:r>
        <w:t xml:space="preserve"> </w:t>
      </w:r>
      <w:r>
        <w:t xml:space="preserve">presents a set of guidelines for assessing how well a model recovers pairwise interactions but we lack any clear strategies for benchmarking structure.</w:t>
      </w:r>
    </w:p>
    <w:bookmarkEnd w:id="42"/>
    <w:bookmarkStart w:id="43"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 (BEFW,</w:t>
      </w:r>
      <w:r>
        <w:t xml:space="preserve"> </w:t>
      </w:r>
      <w:r>
        <w:t xml:space="preserve">[62]</w:t>
      </w:r>
      <w:r>
        <w:t xml:space="preserve">) is addressing, but again it is integrating this with the feasible/realised axis.</w:t>
      </w:r>
    </w:p>
    <w:bookmarkEnd w:id="43"/>
    <w:bookmarkEnd w:id="44"/>
    <w:bookmarkStart w:id="45"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[63]</w:t>
      </w:r>
      <w:r>
        <w:t xml:space="preserve"> </w:t>
      </w:r>
      <w:r>
        <w:t xml:space="preserve">might have (and share) some thoughts on this. I feel like I need to look at</w:t>
      </w:r>
      <w:r>
        <w:t xml:space="preserve"> </w:t>
      </w:r>
      <w:r>
        <w:t xml:space="preserve">[64]</w:t>
      </w:r>
      <w:r>
        <w:t xml:space="preserve"> </w:t>
      </w:r>
      <w:r>
        <w:t xml:space="preserve">but maybe not exactly in this context but vaguely adjacent. This is sort of the crux of the argument presented in</w:t>
      </w:r>
      <w:r>
        <w:t xml:space="preserve"> </w:t>
      </w:r>
      <w:r>
        <w:t xml:space="preserve">[59]</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[65]</w:t>
      </w:r>
      <w:r>
        <w:t xml:space="preserve"> </w:t>
      </w:r>
      <w:r>
        <w:t xml:space="preserve">paper looks at some methods but is specifically looking at a bipartite world…</w:t>
      </w:r>
    </w:p>
    <w:bookmarkEnd w:id="45"/>
    <w:bookmarkStart w:id="172" w:name="references"/>
    <w:p>
      <w:pPr>
        <w:pStyle w:val="Heading1"/>
      </w:pPr>
      <w:r>
        <w:t xml:space="preserve">References</w:t>
      </w:r>
    </w:p>
    <w:bookmarkStart w:id="171" w:name="refs"/>
    <w:bookmarkStart w:id="47"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6">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7"/>
    <w:bookmarkStart w:id="49"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8">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9"/>
    <w:bookmarkStart w:id="51" w:name="Xf53c03f1c3fea4e4289657cbb0682f5f23e8b1d"/>
    <w:p>
      <w:pPr>
        <w:pStyle w:val="Bibliography"/>
      </w:pPr>
      <w:r>
        <w:t xml:space="preserve">3.</w:t>
      </w:r>
      <w:r>
        <w:t xml:space="preserve"> </w:t>
      </w:r>
      <w:r>
        <w:t xml:space="preserve">	</w:t>
      </w:r>
      <w:r>
        <w:t xml:space="preserve">Jordano, P. (2016)</w:t>
      </w:r>
      <w:r>
        <w:t xml:space="preserve"> </w:t>
      </w:r>
      <w:hyperlink r:id="rId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1"/>
    <w:bookmarkStart w:id="53"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2">
        <w:r>
          <w:rPr>
            <w:rStyle w:val="Hyperlink"/>
          </w:rPr>
          <w:t xml:space="preserve">10.1111/1365-2435.12763</w:t>
        </w:r>
      </w:hyperlink>
    </w:p>
    <w:bookmarkEnd w:id="53"/>
    <w:bookmarkStart w:id="55"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4">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5"/>
    <w:bookmarkStart w:id="57"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6">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7"/>
    <w:bookmarkStart w:id="59"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f1526616b81e2f92af827aa5b123838b8d56bfd"/>
    <w:p>
      <w:pPr>
        <w:pStyle w:val="Bibliography"/>
      </w:pPr>
      <w:r>
        <w:t xml:space="preserve">8.</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1"/>
    <w:bookmarkStart w:id="63" w:name="ref-williamsSimpleRulesYield2000"/>
    <w:p>
      <w:pPr>
        <w:pStyle w:val="Bibliography"/>
      </w:pPr>
      <w:r>
        <w:t xml:space="preserve">9.</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3"/>
    <w:bookmarkStart w:id="65"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5"/>
    <w:bookmarkStart w:id="67" w:name="ref-pringleUntanglingFoodWebs2020"/>
    <w:p>
      <w:pPr>
        <w:pStyle w:val="Bibliography"/>
      </w:pPr>
      <w:r>
        <w:t xml:space="preserve">11.</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7"/>
    <w:bookmarkStart w:id="68"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13.</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0"/>
    <w:bookmarkStart w:id="72"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1">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2"/>
    <w:bookmarkStart w:id="74"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3">
        <w:r>
          <w:rPr>
            <w:rStyle w:val="Hyperlink"/>
          </w:rPr>
          <w:t xml:space="preserve">Deciphering probabilistic species interaction networks</w:t>
        </w:r>
      </w:hyperlink>
      <w:r>
        <w:t xml:space="preserve">EcoEvoRxiv</w:t>
      </w:r>
    </w:p>
    <w:bookmarkEnd w:id="74"/>
    <w:bookmarkStart w:id="76"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6"/>
    <w:bookmarkStart w:id="77" w:name="ref-bitonInductiveLinkPrediction2024"/>
    <w:p>
      <w:pPr>
        <w:pStyle w:val="Bibliography"/>
      </w:pPr>
      <w:r>
        <w:t xml:space="preserve">17.</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77"/>
    <w:bookmarkStart w:id="78"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0"/>
    <w:bookmarkStart w:id="91" w:name="X1edd2253d2e7e8e6db9e7574240f432ddda2ce1"/>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1"/>
    <w:bookmarkStart w:id="103"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3"/>
    <w:bookmarkStart w:id="105"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4">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5"/>
    <w:bookmarkStart w:id="107" w:name="ref-beckermanForagingBiologyPredicts2006"/>
    <w:p>
      <w:pPr>
        <w:pStyle w:val="Bibliography"/>
      </w:pPr>
      <w:r>
        <w:t xml:space="preserve">33.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0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07"/>
    <w:bookmarkStart w:id="109" w:name="ref-petcheySizeForagingFood2008"/>
    <w:p>
      <w:pPr>
        <w:pStyle w:val="Bibliography"/>
      </w:pPr>
      <w:r>
        <w:t xml:space="preserve">34.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9"/>
    <w:bookmarkStart w:id="111" w:name="ref-woottonModularTheoryTrophic2023"/>
    <w:p>
      <w:pPr>
        <w:pStyle w:val="Bibliography"/>
      </w:pPr>
      <w:r>
        <w:t xml:space="preserve">35.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1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11"/>
    <w:bookmarkStart w:id="113" w:name="X5c34a2e64ad17132523b815ad511dc881809961"/>
    <w:p>
      <w:pPr>
        <w:pStyle w:val="Bibliography"/>
      </w:pPr>
      <w:r>
        <w:t xml:space="preserve">36.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12">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13"/>
    <w:bookmarkStart w:id="115" w:name="ref-golubskiModifyingModifiersWhat2011"/>
    <w:p>
      <w:pPr>
        <w:pStyle w:val="Bibliography"/>
      </w:pPr>
      <w:r>
        <w:t xml:space="preserve">37.</w:t>
      </w:r>
      <w:r>
        <w:t xml:space="preserve"> </w:t>
      </w:r>
      <w:r>
        <w:t xml:space="preserve">	</w:t>
      </w:r>
      <w:r>
        <w:t xml:space="preserve">Golubski, A.J. and Abrams, P.A. (2011)</w:t>
      </w:r>
      <w:r>
        <w:t xml:space="preserve"> </w:t>
      </w:r>
      <w:hyperlink r:id="rId114">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5"/>
    <w:bookmarkStart w:id="117" w:name="Xce61f9463b8a9f3b89eeb4518bbe3b5ec8b2ca7"/>
    <w:p>
      <w:pPr>
        <w:pStyle w:val="Bibliography"/>
      </w:pPr>
      <w:r>
        <w:t xml:space="preserve">38.</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6">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7"/>
    <w:bookmarkStart w:id="119" w:name="ref-kefiMoreMealIntegrating2012"/>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9"/>
    <w:bookmarkStart w:id="121" w:name="ref-kefiNetworkStructureFood2015"/>
    <w:p>
      <w:pPr>
        <w:pStyle w:val="Bibliography"/>
      </w:pPr>
      <w:r>
        <w:t xml:space="preserve">40.</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1"/>
    <w:bookmarkStart w:id="123" w:name="ref-caronTraitmatchingModelsPredict2024"/>
    <w:p>
      <w:pPr>
        <w:pStyle w:val="Bibliography"/>
      </w:pPr>
      <w:r>
        <w:t xml:space="preserve">41.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3"/>
    <w:bookmarkStart w:id="125" w:name="ref-strydomGraphEmbeddingTransfer2023"/>
    <w:p>
      <w:pPr>
        <w:pStyle w:val="Bibliography"/>
      </w:pPr>
      <w:r>
        <w:t xml:space="preserve">42.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24">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25"/>
    <w:bookmarkStart w:id="127" w:name="ref-allesinaFoodWebModels2009"/>
    <w:p>
      <w:pPr>
        <w:pStyle w:val="Bibliography"/>
      </w:pPr>
      <w:r>
        <w:t xml:space="preserve">43.</w:t>
      </w:r>
      <w:r>
        <w:t xml:space="preserve"> </w:t>
      </w:r>
      <w:r>
        <w:t xml:space="preserve">	</w:t>
      </w:r>
      <w:r>
        <w:t xml:space="preserve">Allesina, S. and Pascual, M. (2009)</w:t>
      </w:r>
      <w:r>
        <w:t xml:space="preserve"> </w:t>
      </w:r>
      <w:hyperlink r:id="rId126">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27"/>
    <w:bookmarkStart w:id="129" w:name="X88f1d6f63b0836bbf1d6ae3f885d8fb9f247ff3"/>
    <w:p>
      <w:pPr>
        <w:pStyle w:val="Bibliography"/>
      </w:pPr>
      <w:r>
        <w:t xml:space="preserve">44.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29"/>
    <w:bookmarkStart w:id="131" w:name="ref-williamsSuccessItsLimits2008"/>
    <w:p>
      <w:pPr>
        <w:pStyle w:val="Bibliography"/>
      </w:pPr>
      <w:r>
        <w:t xml:space="preserve">45.</w:t>
      </w:r>
      <w:r>
        <w:t xml:space="preserve"> </w:t>
      </w:r>
      <w:r>
        <w:t xml:space="preserve">	</w:t>
      </w:r>
      <w:r>
        <w:t xml:space="preserve">Williams, R.J. and Martinez, N.D. (2008)</w:t>
      </w:r>
      <w:r>
        <w:t xml:space="preserve"> </w:t>
      </w:r>
      <w:hyperlink r:id="rId130">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31"/>
    <w:bookmarkStart w:id="133"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2">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3"/>
    <w:bookmarkStart w:id="135"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4">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5"/>
    <w:bookmarkStart w:id="137" w:name="ref-poisotSyntheticDatasetsCommunity2016"/>
    <w:p>
      <w:pPr>
        <w:pStyle w:val="Bibliography"/>
      </w:pPr>
      <w:r>
        <w:t xml:space="preserve">48.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6">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7"/>
    <w:bookmarkStart w:id="139"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9"/>
    <w:bookmarkStart w:id="141" w:name="ref-dunnSixthMassCoextinction2009"/>
    <w:p>
      <w:pPr>
        <w:pStyle w:val="Bibliography"/>
      </w:pPr>
      <w:r>
        <w:t xml:space="preserve">50.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40">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41"/>
    <w:bookmarkStart w:id="143"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3"/>
    <w:bookmarkStart w:id="145" w:name="ref-beckerOptimisingPredictiveModels2022"/>
    <w:p>
      <w:pPr>
        <w:pStyle w:val="Bibliography"/>
      </w:pPr>
      <w:r>
        <w:t xml:space="preserve">52.</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4">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5"/>
    <w:bookmarkStart w:id="147" w:name="X0db465d2ec8683a81b001c1b3069bfe5ad58a88"/>
    <w:p>
      <w:pPr>
        <w:pStyle w:val="Bibliography"/>
      </w:pPr>
      <w:r>
        <w:t xml:space="preserve">53.</w:t>
      </w:r>
      <w:r>
        <w:t xml:space="preserve"> </w:t>
      </w:r>
      <w:r>
        <w:t xml:space="preserve">	</w:t>
      </w:r>
      <w:r>
        <w:t xml:space="preserve">Roopnarine, P.D. (2006)</w:t>
      </w:r>
      <w:r>
        <w:t xml:space="preserve"> </w:t>
      </w:r>
      <w:hyperlink r:id="rId146">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47"/>
    <w:bookmarkStart w:id="149"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9"/>
    <w:bookmarkStart w:id="151" w:name="ref-stoufferAllEcologicalModels2019"/>
    <w:p>
      <w:pPr>
        <w:pStyle w:val="Bibliography"/>
      </w:pPr>
      <w:r>
        <w:t xml:space="preserve">55.</w:t>
      </w:r>
      <w:r>
        <w:t xml:space="preserve"> </w:t>
      </w:r>
      <w:r>
        <w:t xml:space="preserve">	</w:t>
      </w:r>
      <w:r>
        <w:t xml:space="preserve">Stouffer, D.B. (2019)</w:t>
      </w:r>
      <w:r>
        <w:t xml:space="preserve"> </w:t>
      </w:r>
      <w:hyperlink r:id="rId150">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1"/>
    <w:bookmarkStart w:id="153" w:name="ref-hutchinsonSeeingForestTrees2019"/>
    <w:p>
      <w:pPr>
        <w:pStyle w:val="Bibliography"/>
      </w:pPr>
      <w:r>
        <w:t xml:space="preserve">56.</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2">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3"/>
    <w:bookmarkStart w:id="154" w:name="ref-estayEditorialPatternsProcesses2023"/>
    <w:p>
      <w:pPr>
        <w:pStyle w:val="Bibliography"/>
      </w:pPr>
      <w:r>
        <w:t xml:space="preserve">57.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4"/>
    <w:bookmarkStart w:id="156" w:name="ref-rooneyLandscapeTheoryFood2008"/>
    <w:p>
      <w:pPr>
        <w:pStyle w:val="Bibliography"/>
      </w:pPr>
      <w:r>
        <w:t xml:space="preserve">58.</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55">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56"/>
    <w:bookmarkStart w:id="158" w:name="ref-brimacombeApplyingMethodIts2024"/>
    <w:p>
      <w:pPr>
        <w:pStyle w:val="Bibliography"/>
      </w:pPr>
      <w:r>
        <w:t xml:space="preserve">59.</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5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8"/>
    <w:bookmarkStart w:id="160" w:name="X0cd8b1b2c315f3e3186e0dbbf2fc454fbc2ad9d"/>
    <w:p>
      <w:pPr>
        <w:pStyle w:val="Bibliography"/>
      </w:pPr>
      <w:r>
        <w:t xml:space="preserve">60.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59">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60"/>
    <w:bookmarkStart w:id="162" w:name="X023758d2a089016cd8f0c9d2421079cf7d062ff"/>
    <w:p>
      <w:pPr>
        <w:pStyle w:val="Bibliography"/>
      </w:pPr>
      <w:r>
        <w:t xml:space="preserve">61.</w:t>
      </w:r>
      <w:r>
        <w:t xml:space="preserve"> </w:t>
      </w:r>
      <w:r>
        <w:t xml:space="preserve">	</w:t>
      </w:r>
      <w:r>
        <w:t xml:space="preserve">Poisot, T. (2023)</w:t>
      </w:r>
      <w:r>
        <w:t xml:space="preserve"> </w:t>
      </w:r>
      <w:hyperlink r:id="rId161">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2"/>
    <w:bookmarkStart w:id="164" w:name="Xe3e49d362cfe4dc69cf94913d43d3c00a90a030"/>
    <w:p>
      <w:pPr>
        <w:pStyle w:val="Bibliography"/>
      </w:pPr>
      <w:r>
        <w:t xml:space="preserve">62.</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63">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64"/>
    <w:bookmarkStart w:id="166" w:name="ref-petcheyFitEfficiencyBiology2011"/>
    <w:p>
      <w:pPr>
        <w:pStyle w:val="Bibliography"/>
      </w:pPr>
      <w:r>
        <w:t xml:space="preserve">63.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65">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66"/>
    <w:bookmarkStart w:id="168" w:name="ref-berlowGoldilocksFactorFood2008"/>
    <w:p>
      <w:pPr>
        <w:pStyle w:val="Bibliography"/>
      </w:pPr>
      <w:r>
        <w:t xml:space="preserve">64.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67">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68"/>
    <w:bookmarkStart w:id="170" w:name="ref-terryFindingMissingLinks2020"/>
    <w:p>
      <w:pPr>
        <w:pStyle w:val="Bibliography"/>
      </w:pPr>
      <w:r>
        <w:t xml:space="preserve">65.</w:t>
      </w:r>
      <w:r>
        <w:t xml:space="preserve"> </w:t>
      </w:r>
      <w:r>
        <w:t xml:space="preserve">	</w:t>
      </w:r>
      <w:r>
        <w:t xml:space="preserve">Terry, J.C.D. and Lewis, O.T. (2020)</w:t>
      </w:r>
      <w:r>
        <w:t xml:space="preserve"> </w:t>
      </w:r>
      <w:hyperlink r:id="rId16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70"/>
    <w:bookmarkEnd w:id="171"/>
    <w:bookmarkEnd w:id="1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9"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65"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7"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2"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3" Target="https://doi.org/10.1111/1365-2656.12892" TargetMode="External" /><Relationship Type="http://schemas.openxmlformats.org/officeDocument/2006/relationships/hyperlink" Id="rId150" Target="https://doi.org/10.1111/1365-2656.12949"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61"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9"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5"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57"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9"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65"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7"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2"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3" Target="https://doi.org/10.1111/1365-2656.12892" TargetMode="External" /><Relationship Type="http://schemas.openxmlformats.org/officeDocument/2006/relationships/hyperlink" Id="rId150" Target="https://doi.org/10.1111/1365-2656.12949"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61"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9"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5"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57"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2024-09-19T13:54:34Z</dcterms:created>
  <dcterms:modified xsi:type="dcterms:W3CDTF">2024-09-19T13:54:34Z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